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B477D" w14:textId="13924BE0" w:rsidR="00B93EAB" w:rsidRPr="006D008F" w:rsidRDefault="0079422E" w:rsidP="0084627F">
      <w:pPr>
        <w:pStyle w:val="Heading1"/>
        <w:rPr>
          <w:sz w:val="24"/>
          <w:szCs w:val="24"/>
          <w:lang w:eastAsia="en-GB"/>
        </w:rPr>
      </w:pPr>
      <w:bookmarkStart w:id="0" w:name="_Hlk95318690"/>
      <w:r w:rsidRPr="006D008F">
        <w:rPr>
          <w:sz w:val="24"/>
          <w:szCs w:val="24"/>
          <w:lang w:eastAsia="en-GB"/>
        </w:rPr>
        <w:t xml:space="preserve">Updated </w:t>
      </w:r>
      <w:r w:rsidR="008554E5" w:rsidRPr="006D008F">
        <w:rPr>
          <w:sz w:val="24"/>
          <w:szCs w:val="24"/>
          <w:lang w:eastAsia="en-GB"/>
        </w:rPr>
        <w:t>Briefing note to schools</w:t>
      </w:r>
      <w:r w:rsidR="006A3C26" w:rsidRPr="006D008F">
        <w:rPr>
          <w:sz w:val="24"/>
          <w:szCs w:val="24"/>
          <w:lang w:eastAsia="en-GB"/>
        </w:rPr>
        <w:t xml:space="preserve"> on the Integrated Education Bill </w:t>
      </w:r>
      <w:r w:rsidRPr="006D008F">
        <w:rPr>
          <w:sz w:val="24"/>
          <w:szCs w:val="24"/>
          <w:lang w:eastAsia="en-GB"/>
        </w:rPr>
        <w:t>– 9 February 2022</w:t>
      </w:r>
    </w:p>
    <w:p w14:paraId="2CE9F739" w14:textId="7E5F0F4D" w:rsidR="001A38CB" w:rsidRPr="006D008F" w:rsidRDefault="000E1F39" w:rsidP="00B93EAB">
      <w:pPr>
        <w:spacing w:after="0" w:line="240" w:lineRule="auto"/>
        <w:rPr>
          <w:rFonts w:ascii="Calibri" w:eastAsia="Times New Roman" w:hAnsi="Calibri" w:cs="Calibri"/>
          <w:color w:val="242424"/>
          <w:sz w:val="24"/>
          <w:szCs w:val="24"/>
          <w:lang w:eastAsia="en-GB"/>
        </w:rPr>
      </w:pPr>
      <w:r w:rsidRPr="006D008F">
        <w:rPr>
          <w:rFonts w:ascii="Calibri" w:eastAsia="Times New Roman" w:hAnsi="Calibri" w:cs="Calibri"/>
          <w:color w:val="242424"/>
          <w:sz w:val="24"/>
          <w:szCs w:val="24"/>
          <w:lang w:eastAsia="en-GB"/>
        </w:rPr>
        <w:t xml:space="preserve">The Integrated Education Bill </w:t>
      </w:r>
      <w:r w:rsidR="0079422E" w:rsidRPr="006D008F">
        <w:rPr>
          <w:rFonts w:ascii="Calibri" w:eastAsia="Times New Roman" w:hAnsi="Calibri" w:cs="Calibri"/>
          <w:color w:val="242424"/>
          <w:sz w:val="24"/>
          <w:szCs w:val="24"/>
          <w:lang w:eastAsia="en-GB"/>
        </w:rPr>
        <w:t>continues to pass</w:t>
      </w:r>
      <w:r w:rsidRPr="006D008F">
        <w:rPr>
          <w:rFonts w:ascii="Calibri" w:eastAsia="Times New Roman" w:hAnsi="Calibri" w:cs="Calibri"/>
          <w:color w:val="242424"/>
          <w:sz w:val="24"/>
          <w:szCs w:val="24"/>
          <w:lang w:eastAsia="en-GB"/>
        </w:rPr>
        <w:t xml:space="preserve"> to the next stage in the Assembly. </w:t>
      </w:r>
      <w:r w:rsidR="0079422E" w:rsidRPr="006D008F">
        <w:rPr>
          <w:rFonts w:ascii="Calibri" w:eastAsia="Times New Roman" w:hAnsi="Calibri" w:cs="Calibri"/>
          <w:color w:val="242424"/>
          <w:sz w:val="24"/>
          <w:szCs w:val="24"/>
          <w:lang w:eastAsia="en-GB"/>
        </w:rPr>
        <w:t xml:space="preserve">The resignation of the First Minister will not stop this. </w:t>
      </w:r>
      <w:r w:rsidR="000427D6" w:rsidRPr="006D008F">
        <w:rPr>
          <w:rFonts w:ascii="Calibri" w:eastAsia="Times New Roman" w:hAnsi="Calibri" w:cs="Calibri"/>
          <w:color w:val="242424"/>
          <w:sz w:val="24"/>
          <w:szCs w:val="24"/>
          <w:lang w:eastAsia="en-GB"/>
        </w:rPr>
        <w:t xml:space="preserve">While there are a number of amendments being proposed, they do not do enough to reduce the negative impact of the Bill on controlled schools. </w:t>
      </w:r>
      <w:r w:rsidRPr="006D008F">
        <w:rPr>
          <w:rFonts w:ascii="Calibri" w:eastAsia="Times New Roman" w:hAnsi="Calibri" w:cs="Calibri"/>
          <w:color w:val="242424"/>
          <w:sz w:val="24"/>
          <w:szCs w:val="24"/>
          <w:lang w:eastAsia="en-GB"/>
        </w:rPr>
        <w:t xml:space="preserve">The Bill proposes new provisions for Integrated </w:t>
      </w:r>
      <w:r w:rsidR="0079422E" w:rsidRPr="006D008F">
        <w:rPr>
          <w:rFonts w:ascii="Calibri" w:eastAsia="Times New Roman" w:hAnsi="Calibri" w:cs="Calibri"/>
          <w:color w:val="242424"/>
          <w:sz w:val="24"/>
          <w:szCs w:val="24"/>
          <w:lang w:eastAsia="en-GB"/>
        </w:rPr>
        <w:t>Education.</w:t>
      </w:r>
    </w:p>
    <w:tbl>
      <w:tblPr>
        <w:tblStyle w:val="TableGrid"/>
        <w:tblW w:w="10348" w:type="dxa"/>
        <w:tblLook w:val="04A0" w:firstRow="1" w:lastRow="0" w:firstColumn="1" w:lastColumn="0" w:noHBand="0" w:noVBand="1"/>
        <w:tblDescription w:val="Paragraphs regarding the following: Integrated Education Bill, what it means for controlled schools, what has happened to date and what will happen next, key points that CSSC is making, action that CSSC has taken to date, what CSSC and schools should do next.  "/>
      </w:tblPr>
      <w:tblGrid>
        <w:gridCol w:w="10348"/>
      </w:tblGrid>
      <w:tr w:rsidR="00020692" w:rsidRPr="006D008F" w14:paraId="382DC73D" w14:textId="77777777" w:rsidTr="001A38CB">
        <w:tc>
          <w:tcPr>
            <w:tcW w:w="10348" w:type="dxa"/>
            <w:tcBorders>
              <w:top w:val="nil"/>
              <w:left w:val="nil"/>
              <w:bottom w:val="nil"/>
              <w:right w:val="nil"/>
            </w:tcBorders>
            <w:shd w:val="clear" w:color="auto" w:fill="9CC2E5" w:themeFill="accent1" w:themeFillTint="99"/>
          </w:tcPr>
          <w:p w14:paraId="1B12B81C" w14:textId="761BC347" w:rsidR="00B93EAB" w:rsidRPr="006D008F" w:rsidRDefault="00020692" w:rsidP="001A38CB">
            <w:pPr>
              <w:rPr>
                <w:rFonts w:eastAsia="Times New Roman" w:cstheme="minorHAnsi"/>
                <w:color w:val="242424"/>
                <w:sz w:val="24"/>
                <w:szCs w:val="24"/>
                <w:lang w:eastAsia="en-GB"/>
              </w:rPr>
            </w:pPr>
            <w:r w:rsidRPr="006D008F">
              <w:rPr>
                <w:rStyle w:val="Heading2Char"/>
                <w:sz w:val="24"/>
                <w:szCs w:val="24"/>
                <w:lang w:eastAsia="en-GB"/>
              </w:rPr>
              <w:t>What is the Integrated Education Bill?</w:t>
            </w:r>
            <w:r w:rsidRPr="006D008F">
              <w:rPr>
                <w:rFonts w:ascii="Calibri" w:eastAsiaTheme="majorEastAsia" w:hAnsi="Calibri" w:cstheme="majorBidi"/>
                <w:b/>
                <w:sz w:val="24"/>
                <w:szCs w:val="24"/>
                <w:lang w:eastAsia="en-GB"/>
              </w:rPr>
              <w:t xml:space="preserve"> </w:t>
            </w:r>
            <w:r w:rsidRPr="006D008F">
              <w:rPr>
                <w:rFonts w:ascii="Calibri" w:eastAsiaTheme="majorEastAsia" w:hAnsi="Calibri" w:cstheme="majorBidi"/>
                <w:sz w:val="24"/>
                <w:szCs w:val="24"/>
                <w:lang w:eastAsia="en-GB"/>
              </w:rPr>
              <w:t>The</w:t>
            </w:r>
            <w:r w:rsidRPr="006D008F">
              <w:rPr>
                <w:rFonts w:eastAsia="Times New Roman" w:cstheme="minorHAnsi"/>
                <w:color w:val="242424"/>
                <w:sz w:val="24"/>
                <w:szCs w:val="24"/>
                <w:lang w:eastAsia="en-GB"/>
              </w:rPr>
              <w:t xml:space="preserve"> draft Bill proposes to support integrated education by placing duties </w:t>
            </w:r>
            <w:r w:rsidR="00096165" w:rsidRPr="006D008F">
              <w:rPr>
                <w:rFonts w:eastAsia="Times New Roman" w:cstheme="minorHAnsi"/>
                <w:color w:val="242424"/>
                <w:sz w:val="24"/>
                <w:szCs w:val="24"/>
                <w:lang w:eastAsia="en-GB"/>
              </w:rPr>
              <w:t xml:space="preserve">on </w:t>
            </w:r>
            <w:r w:rsidRPr="006D008F">
              <w:rPr>
                <w:rFonts w:eastAsia="Times New Roman" w:cstheme="minorHAnsi"/>
                <w:color w:val="242424"/>
                <w:sz w:val="24"/>
                <w:szCs w:val="24"/>
                <w:lang w:eastAsia="en-GB"/>
              </w:rPr>
              <w:t>the Education Authority (EA) and the Department of Education (DE) to ensure that they have accurately assessed the demand for integrated education and are able to meet it. It requires any new school to be integrated first unless there is a specific reason why it cannot be.  There are other duties placed on DE in relation to a strategy for integrated education and how they are reporting on delivering on it.</w:t>
            </w:r>
          </w:p>
        </w:tc>
      </w:tr>
      <w:tr w:rsidR="00020692" w:rsidRPr="006D008F" w14:paraId="19ECC1F2" w14:textId="77777777" w:rsidTr="001A38CB">
        <w:tc>
          <w:tcPr>
            <w:tcW w:w="10348" w:type="dxa"/>
            <w:tcBorders>
              <w:top w:val="nil"/>
              <w:left w:val="nil"/>
              <w:bottom w:val="nil"/>
              <w:right w:val="nil"/>
            </w:tcBorders>
            <w:shd w:val="clear" w:color="auto" w:fill="BDD6EE" w:themeFill="accent1" w:themeFillTint="66"/>
          </w:tcPr>
          <w:p w14:paraId="5500C75B" w14:textId="221F8364" w:rsidR="00B93EAB" w:rsidRPr="006D008F" w:rsidRDefault="00020692" w:rsidP="001A38CB">
            <w:pPr>
              <w:rPr>
                <w:rFonts w:eastAsia="Times New Roman" w:cstheme="minorHAnsi"/>
                <w:color w:val="242424"/>
                <w:sz w:val="24"/>
                <w:szCs w:val="24"/>
                <w:lang w:eastAsia="en-GB"/>
              </w:rPr>
            </w:pPr>
            <w:r w:rsidRPr="006D008F">
              <w:rPr>
                <w:rStyle w:val="Heading2Char"/>
                <w:sz w:val="24"/>
                <w:szCs w:val="24"/>
              </w:rPr>
              <w:t>What does it mean for controlled schools?</w:t>
            </w:r>
            <w:r w:rsidR="001A38CB" w:rsidRPr="006D008F">
              <w:rPr>
                <w:rStyle w:val="Heading2Char"/>
                <w:sz w:val="24"/>
                <w:szCs w:val="24"/>
              </w:rPr>
              <w:t xml:space="preserve"> </w:t>
            </w:r>
            <w:r w:rsidRPr="006D008F">
              <w:rPr>
                <w:rFonts w:eastAsia="Times New Roman" w:cstheme="minorHAnsi"/>
                <w:color w:val="242424"/>
                <w:sz w:val="24"/>
                <w:szCs w:val="24"/>
                <w:lang w:eastAsia="en-GB"/>
              </w:rPr>
              <w:t xml:space="preserve">The implications of prioritising the integrated sector in this way is that other sectors are secondary in legislation. </w:t>
            </w:r>
            <w:r w:rsidRPr="006D008F">
              <w:rPr>
                <w:rFonts w:cstheme="minorHAnsi"/>
                <w:b/>
                <w:sz w:val="24"/>
                <w:szCs w:val="24"/>
              </w:rPr>
              <w:t xml:space="preserve"> </w:t>
            </w:r>
            <w:r w:rsidRPr="006D008F">
              <w:rPr>
                <w:rFonts w:eastAsia="Times New Roman" w:cstheme="minorHAnsi"/>
                <w:color w:val="242424"/>
                <w:sz w:val="24"/>
                <w:szCs w:val="24"/>
                <w:lang w:eastAsia="en-GB"/>
              </w:rPr>
              <w:t xml:space="preserve">There is no duty on DE or EA to support controlled education and neither is there a duty to ensure that demand is met.  This will have implications for admissions processes, area planning development proposals specifically for expansion of numbers and when looking at any future demand for controlled education. Whilst the Bill supports our controlled integrated schools we are specifically concerned that it disregards the open to all nature of all controlled schools.  </w:t>
            </w:r>
          </w:p>
        </w:tc>
      </w:tr>
      <w:tr w:rsidR="0029712E" w:rsidRPr="006D008F" w14:paraId="77E77086" w14:textId="77777777" w:rsidTr="001A38CB">
        <w:trPr>
          <w:trHeight w:val="2873"/>
        </w:trPr>
        <w:tc>
          <w:tcPr>
            <w:tcW w:w="10348" w:type="dxa"/>
            <w:tcBorders>
              <w:top w:val="nil"/>
              <w:left w:val="nil"/>
              <w:bottom w:val="nil"/>
              <w:right w:val="nil"/>
            </w:tcBorders>
            <w:shd w:val="clear" w:color="auto" w:fill="9CC2E5" w:themeFill="accent1" w:themeFillTint="99"/>
          </w:tcPr>
          <w:p w14:paraId="076A2DC1" w14:textId="77777777" w:rsidR="001E13CA" w:rsidRDefault="0029712E" w:rsidP="001E13CA">
            <w:pPr>
              <w:pStyle w:val="Heading2"/>
              <w:outlineLvl w:val="1"/>
              <w:rPr>
                <w:rStyle w:val="Hyperlink"/>
                <w:rFonts w:cstheme="minorHAnsi"/>
                <w:b w:val="0"/>
                <w:bCs/>
                <w:color w:val="auto"/>
                <w:sz w:val="24"/>
                <w:szCs w:val="24"/>
              </w:rPr>
            </w:pPr>
            <w:r w:rsidRPr="006D008F">
              <w:rPr>
                <w:sz w:val="24"/>
                <w:szCs w:val="24"/>
              </w:rPr>
              <w:t>What has happened to date and what will happen next?</w:t>
            </w:r>
            <w:r w:rsidR="001A38CB" w:rsidRPr="006D008F">
              <w:rPr>
                <w:sz w:val="24"/>
                <w:szCs w:val="24"/>
              </w:rPr>
              <w:t xml:space="preserve"> </w:t>
            </w:r>
            <w:r w:rsidR="0079422E" w:rsidRPr="006D008F">
              <w:rPr>
                <w:rFonts w:cstheme="minorHAnsi"/>
                <w:b w:val="0"/>
                <w:bCs/>
                <w:sz w:val="24"/>
                <w:szCs w:val="24"/>
              </w:rPr>
              <w:t>Recent changes in the NI Assembly will not impact on th</w:t>
            </w:r>
            <w:r w:rsidRPr="006D008F">
              <w:rPr>
                <w:rFonts w:cstheme="minorHAnsi"/>
                <w:b w:val="0"/>
                <w:bCs/>
                <w:sz w:val="24"/>
                <w:szCs w:val="24"/>
              </w:rPr>
              <w:t xml:space="preserve">e </w:t>
            </w:r>
            <w:r w:rsidR="0079422E" w:rsidRPr="006D008F">
              <w:rPr>
                <w:rFonts w:cstheme="minorHAnsi"/>
                <w:b w:val="0"/>
                <w:bCs/>
                <w:sz w:val="24"/>
                <w:szCs w:val="24"/>
              </w:rPr>
              <w:t xml:space="preserve">progress of </w:t>
            </w:r>
            <w:r w:rsidRPr="006D008F">
              <w:rPr>
                <w:rFonts w:cstheme="minorHAnsi"/>
                <w:b w:val="0"/>
                <w:bCs/>
                <w:sz w:val="24"/>
                <w:szCs w:val="24"/>
              </w:rPr>
              <w:t>draft bill</w:t>
            </w:r>
            <w:r w:rsidR="0079422E" w:rsidRPr="006D008F">
              <w:rPr>
                <w:rFonts w:cstheme="minorHAnsi"/>
                <w:b w:val="0"/>
                <w:bCs/>
                <w:sz w:val="24"/>
                <w:szCs w:val="24"/>
              </w:rPr>
              <w:t>.</w:t>
            </w:r>
            <w:r w:rsidRPr="006D008F">
              <w:rPr>
                <w:rFonts w:cstheme="minorHAnsi"/>
                <w:b w:val="0"/>
                <w:bCs/>
                <w:sz w:val="24"/>
                <w:szCs w:val="24"/>
              </w:rPr>
              <w:t xml:space="preserve"> </w:t>
            </w:r>
            <w:r w:rsidR="0079422E" w:rsidRPr="006D008F">
              <w:rPr>
                <w:rFonts w:cstheme="minorHAnsi"/>
                <w:b w:val="0"/>
                <w:bCs/>
                <w:sz w:val="24"/>
                <w:szCs w:val="24"/>
              </w:rPr>
              <w:t xml:space="preserve">It </w:t>
            </w:r>
            <w:r w:rsidRPr="006D008F">
              <w:rPr>
                <w:rFonts w:cstheme="minorHAnsi"/>
                <w:b w:val="0"/>
                <w:bCs/>
                <w:sz w:val="24"/>
                <w:szCs w:val="24"/>
              </w:rPr>
              <w:t xml:space="preserve">will </w:t>
            </w:r>
            <w:r w:rsidR="0079422E" w:rsidRPr="006D008F">
              <w:rPr>
                <w:rFonts w:cstheme="minorHAnsi"/>
                <w:b w:val="0"/>
                <w:bCs/>
                <w:sz w:val="24"/>
                <w:szCs w:val="24"/>
              </w:rPr>
              <w:t>still</w:t>
            </w:r>
            <w:r w:rsidRPr="006D008F">
              <w:rPr>
                <w:rFonts w:cstheme="minorHAnsi"/>
                <w:b w:val="0"/>
                <w:bCs/>
                <w:sz w:val="24"/>
                <w:szCs w:val="24"/>
              </w:rPr>
              <w:t xml:space="preserve"> move to </w:t>
            </w:r>
            <w:r w:rsidR="0079422E" w:rsidRPr="006D008F">
              <w:rPr>
                <w:rFonts w:cstheme="minorHAnsi"/>
                <w:b w:val="0"/>
                <w:bCs/>
                <w:sz w:val="24"/>
                <w:szCs w:val="24"/>
              </w:rPr>
              <w:t xml:space="preserve">the Further </w:t>
            </w:r>
            <w:r w:rsidRPr="006D008F">
              <w:rPr>
                <w:rFonts w:cstheme="minorHAnsi"/>
                <w:b w:val="0"/>
                <w:bCs/>
                <w:sz w:val="24"/>
                <w:szCs w:val="24"/>
              </w:rPr>
              <w:t xml:space="preserve">Consideration Stage.  This is the final stage at which the Bill can be amended. This will only allow new amendments so if there are no amendments, there will be no debate.  </w:t>
            </w:r>
            <w:r w:rsidR="0079422E" w:rsidRPr="006D008F">
              <w:rPr>
                <w:rFonts w:cstheme="minorHAnsi"/>
                <w:b w:val="0"/>
                <w:bCs/>
                <w:sz w:val="24"/>
                <w:szCs w:val="24"/>
              </w:rPr>
              <w:t xml:space="preserve">There has been a slight postponement to allow the Bill proposer to check a number of legal points. </w:t>
            </w:r>
            <w:r w:rsidRPr="006D008F">
              <w:rPr>
                <w:rFonts w:cstheme="minorHAnsi"/>
                <w:b w:val="0"/>
                <w:bCs/>
                <w:sz w:val="24"/>
                <w:szCs w:val="24"/>
              </w:rPr>
              <w:t xml:space="preserve">After this the Bill </w:t>
            </w:r>
            <w:r w:rsidR="0079422E" w:rsidRPr="006D008F">
              <w:rPr>
                <w:rFonts w:cstheme="minorHAnsi"/>
                <w:b w:val="0"/>
                <w:bCs/>
                <w:sz w:val="24"/>
                <w:szCs w:val="24"/>
              </w:rPr>
              <w:t>will still move</w:t>
            </w:r>
            <w:r w:rsidRPr="006D008F">
              <w:rPr>
                <w:rFonts w:cstheme="minorHAnsi"/>
                <w:b w:val="0"/>
                <w:bCs/>
                <w:sz w:val="24"/>
                <w:szCs w:val="24"/>
              </w:rPr>
              <w:t xml:space="preserve"> to the Final Stage, which could be completed by the middle of February. The Bill then passes for Royal Assent. Read more here: </w:t>
            </w:r>
            <w:hyperlink r:id="rId8" w:history="1">
              <w:r w:rsidRPr="006D008F">
                <w:rPr>
                  <w:rStyle w:val="Hyperlink"/>
                  <w:rFonts w:cstheme="minorHAnsi"/>
                  <w:b w:val="0"/>
                  <w:bCs/>
                  <w:color w:val="auto"/>
                  <w:sz w:val="24"/>
                  <w:szCs w:val="24"/>
                </w:rPr>
                <w:t>https://bit.ly/3AGTmfy</w:t>
              </w:r>
            </w:hyperlink>
          </w:p>
          <w:p w14:paraId="0FFDACD1" w14:textId="1411BC1C" w:rsidR="001E13CA" w:rsidRPr="001E13CA" w:rsidRDefault="001E13CA" w:rsidP="001E13CA">
            <w:pPr>
              <w:pStyle w:val="Heading2"/>
              <w:rPr>
                <w:rFonts w:cstheme="minorHAnsi"/>
                <w:bCs/>
                <w:sz w:val="24"/>
                <w:szCs w:val="24"/>
              </w:rPr>
            </w:pPr>
            <w:r w:rsidRPr="001E13CA">
              <w:rPr>
                <w:rFonts w:cstheme="minorHAnsi"/>
                <w:bCs/>
                <w:sz w:val="24"/>
                <w:szCs w:val="24"/>
              </w:rPr>
              <w:t>First Stage</w:t>
            </w:r>
            <w:r w:rsidRPr="001E13CA">
              <w:rPr>
                <w:rFonts w:cstheme="minorHAnsi"/>
                <w:bCs/>
                <w:sz w:val="24"/>
                <w:szCs w:val="24"/>
              </w:rPr>
              <w:tab/>
            </w:r>
            <w:r w:rsidRPr="001E13CA">
              <w:rPr>
                <w:rFonts w:cstheme="minorHAnsi"/>
                <w:bCs/>
                <w:sz w:val="24"/>
                <w:szCs w:val="24"/>
              </w:rPr>
              <w:tab/>
            </w:r>
            <w:r w:rsidRPr="001E13CA">
              <w:rPr>
                <w:rFonts w:cstheme="minorHAnsi"/>
                <w:bCs/>
                <w:sz w:val="24"/>
                <w:szCs w:val="24"/>
              </w:rPr>
              <w:tab/>
              <w:t>1 June ‘21</w:t>
            </w:r>
          </w:p>
          <w:p w14:paraId="11DB964F" w14:textId="77777777" w:rsidR="001E13CA" w:rsidRDefault="001E13CA" w:rsidP="001E13CA">
            <w:pPr>
              <w:rPr>
                <w:rFonts w:cstheme="minorHAnsi"/>
                <w:b/>
                <w:sz w:val="24"/>
                <w:szCs w:val="24"/>
              </w:rPr>
            </w:pPr>
            <w:r>
              <w:rPr>
                <w:rFonts w:cstheme="minorHAnsi"/>
                <w:b/>
                <w:sz w:val="24"/>
                <w:szCs w:val="24"/>
              </w:rPr>
              <w:t>Second Stage</w:t>
            </w:r>
            <w:r>
              <w:rPr>
                <w:rFonts w:cstheme="minorHAnsi"/>
                <w:b/>
                <w:sz w:val="24"/>
                <w:szCs w:val="24"/>
              </w:rPr>
              <w:tab/>
            </w:r>
            <w:r>
              <w:rPr>
                <w:rFonts w:cstheme="minorHAnsi"/>
                <w:b/>
                <w:sz w:val="24"/>
                <w:szCs w:val="24"/>
              </w:rPr>
              <w:tab/>
            </w:r>
            <w:r>
              <w:rPr>
                <w:rFonts w:cstheme="minorHAnsi"/>
                <w:b/>
                <w:sz w:val="24"/>
                <w:szCs w:val="24"/>
              </w:rPr>
              <w:tab/>
              <w:t>6 July ‘21</w:t>
            </w:r>
          </w:p>
          <w:p w14:paraId="30221A02" w14:textId="77777777" w:rsidR="001E13CA" w:rsidRDefault="001E13CA" w:rsidP="001E13CA">
            <w:pPr>
              <w:rPr>
                <w:rFonts w:cstheme="minorHAnsi"/>
                <w:b/>
                <w:sz w:val="24"/>
                <w:szCs w:val="24"/>
              </w:rPr>
            </w:pPr>
            <w:r>
              <w:rPr>
                <w:rFonts w:cstheme="minorHAnsi"/>
                <w:b/>
                <w:sz w:val="24"/>
                <w:szCs w:val="24"/>
              </w:rPr>
              <w:t>Committee Stage</w:t>
            </w:r>
            <w:r>
              <w:rPr>
                <w:rFonts w:cstheme="minorHAnsi"/>
                <w:b/>
                <w:sz w:val="24"/>
                <w:szCs w:val="24"/>
              </w:rPr>
              <w:tab/>
            </w:r>
            <w:r>
              <w:rPr>
                <w:rFonts w:cstheme="minorHAnsi"/>
                <w:b/>
                <w:sz w:val="24"/>
                <w:szCs w:val="24"/>
              </w:rPr>
              <w:tab/>
              <w:t>24 November ‘21</w:t>
            </w:r>
          </w:p>
          <w:p w14:paraId="274C993E" w14:textId="77777777" w:rsidR="001E13CA" w:rsidRDefault="001E13CA" w:rsidP="001E13CA">
            <w:pPr>
              <w:rPr>
                <w:rFonts w:cstheme="minorHAnsi"/>
                <w:b/>
                <w:sz w:val="24"/>
                <w:szCs w:val="24"/>
              </w:rPr>
            </w:pPr>
            <w:r>
              <w:rPr>
                <w:rFonts w:cstheme="minorHAnsi"/>
                <w:b/>
                <w:sz w:val="24"/>
                <w:szCs w:val="24"/>
              </w:rPr>
              <w:t>Consideration Stage</w:t>
            </w:r>
            <w:r>
              <w:rPr>
                <w:rFonts w:cstheme="minorHAnsi"/>
                <w:b/>
                <w:sz w:val="24"/>
                <w:szCs w:val="24"/>
              </w:rPr>
              <w:tab/>
            </w:r>
            <w:r>
              <w:rPr>
                <w:rFonts w:cstheme="minorHAnsi"/>
                <w:b/>
                <w:sz w:val="24"/>
                <w:szCs w:val="24"/>
              </w:rPr>
              <w:tab/>
              <w:t>18 January '22</w:t>
            </w:r>
          </w:p>
          <w:p w14:paraId="409FA32F" w14:textId="25DB3580" w:rsidR="001E13CA" w:rsidRDefault="001E13CA" w:rsidP="001E13CA">
            <w:pPr>
              <w:rPr>
                <w:rFonts w:cstheme="minorHAnsi"/>
                <w:b/>
                <w:sz w:val="24"/>
                <w:szCs w:val="24"/>
              </w:rPr>
            </w:pPr>
            <w:r>
              <w:rPr>
                <w:rFonts w:cstheme="minorHAnsi"/>
                <w:b/>
                <w:sz w:val="24"/>
                <w:szCs w:val="24"/>
              </w:rPr>
              <w:t>Further Consideration Stage</w:t>
            </w:r>
            <w:r>
              <w:rPr>
                <w:rFonts w:cstheme="minorHAnsi"/>
                <w:b/>
                <w:sz w:val="24"/>
                <w:szCs w:val="24"/>
              </w:rPr>
              <w:tab/>
            </w:r>
            <w:r>
              <w:rPr>
                <w:rFonts w:cstheme="minorHAnsi"/>
                <w:b/>
                <w:sz w:val="24"/>
                <w:szCs w:val="24"/>
              </w:rPr>
              <w:t xml:space="preserve">w/c 21 </w:t>
            </w:r>
            <w:r>
              <w:rPr>
                <w:rFonts w:cstheme="minorHAnsi"/>
                <w:b/>
                <w:sz w:val="24"/>
                <w:szCs w:val="24"/>
              </w:rPr>
              <w:t xml:space="preserve">February </w:t>
            </w:r>
            <w:r>
              <w:rPr>
                <w:rFonts w:cstheme="minorHAnsi"/>
                <w:b/>
                <w:sz w:val="24"/>
                <w:szCs w:val="24"/>
              </w:rPr>
              <w:t>’</w:t>
            </w:r>
            <w:r>
              <w:rPr>
                <w:rFonts w:cstheme="minorHAnsi"/>
                <w:b/>
                <w:sz w:val="24"/>
                <w:szCs w:val="24"/>
              </w:rPr>
              <w:t>22</w:t>
            </w:r>
            <w:r>
              <w:rPr>
                <w:rFonts w:cstheme="minorHAnsi"/>
                <w:b/>
                <w:sz w:val="24"/>
                <w:szCs w:val="24"/>
              </w:rPr>
              <w:t xml:space="preserve"> (suggested)</w:t>
            </w:r>
          </w:p>
          <w:p w14:paraId="47441CBD" w14:textId="77777777" w:rsidR="001E13CA" w:rsidRDefault="001E13CA" w:rsidP="001E13CA">
            <w:pPr>
              <w:rPr>
                <w:rFonts w:cstheme="minorHAnsi"/>
                <w:b/>
                <w:sz w:val="24"/>
                <w:szCs w:val="24"/>
              </w:rPr>
            </w:pPr>
            <w:r>
              <w:rPr>
                <w:rFonts w:cstheme="minorHAnsi"/>
                <w:b/>
                <w:sz w:val="24"/>
                <w:szCs w:val="24"/>
              </w:rPr>
              <w:t>Final Stage</w:t>
            </w:r>
            <w:r>
              <w:rPr>
                <w:rFonts w:cstheme="minorHAnsi"/>
                <w:b/>
                <w:sz w:val="24"/>
                <w:szCs w:val="24"/>
              </w:rPr>
              <w:tab/>
            </w:r>
            <w:r>
              <w:rPr>
                <w:rFonts w:cstheme="minorHAnsi"/>
                <w:b/>
                <w:sz w:val="24"/>
                <w:szCs w:val="24"/>
              </w:rPr>
              <w:tab/>
            </w:r>
            <w:r>
              <w:rPr>
                <w:rFonts w:cstheme="minorHAnsi"/>
                <w:b/>
                <w:sz w:val="24"/>
                <w:szCs w:val="24"/>
              </w:rPr>
              <w:tab/>
              <w:t>TBC</w:t>
            </w:r>
          </w:p>
          <w:p w14:paraId="5C74622E" w14:textId="4B81A175" w:rsidR="001E13CA" w:rsidRPr="006D008F" w:rsidRDefault="001E13CA" w:rsidP="001E13CA">
            <w:pPr>
              <w:rPr>
                <w:rFonts w:cstheme="minorHAnsi"/>
                <w:b/>
                <w:sz w:val="24"/>
                <w:szCs w:val="24"/>
              </w:rPr>
            </w:pPr>
            <w:r>
              <w:rPr>
                <w:rFonts w:cstheme="minorHAnsi"/>
                <w:b/>
                <w:sz w:val="24"/>
                <w:szCs w:val="24"/>
              </w:rPr>
              <w:t>Royal Assent</w:t>
            </w:r>
            <w:r>
              <w:rPr>
                <w:rFonts w:cstheme="minorHAnsi"/>
                <w:b/>
                <w:sz w:val="24"/>
                <w:szCs w:val="24"/>
              </w:rPr>
              <w:tab/>
            </w:r>
            <w:r>
              <w:rPr>
                <w:rFonts w:cstheme="minorHAnsi"/>
                <w:b/>
                <w:sz w:val="24"/>
                <w:szCs w:val="24"/>
              </w:rPr>
              <w:tab/>
            </w:r>
            <w:r>
              <w:rPr>
                <w:rFonts w:cstheme="minorHAnsi"/>
                <w:b/>
                <w:sz w:val="24"/>
                <w:szCs w:val="24"/>
              </w:rPr>
              <w:tab/>
              <w:t>TBC</w:t>
            </w:r>
          </w:p>
        </w:tc>
      </w:tr>
      <w:tr w:rsidR="00481B5D" w:rsidRPr="006D008F" w14:paraId="75C436B7" w14:textId="77777777" w:rsidTr="001A38CB">
        <w:trPr>
          <w:trHeight w:val="358"/>
        </w:trPr>
        <w:tc>
          <w:tcPr>
            <w:tcW w:w="10348" w:type="dxa"/>
            <w:tcBorders>
              <w:top w:val="nil"/>
              <w:left w:val="nil"/>
              <w:bottom w:val="nil"/>
              <w:right w:val="nil"/>
            </w:tcBorders>
            <w:shd w:val="clear" w:color="auto" w:fill="BDD6EE" w:themeFill="accent1" w:themeFillTint="66"/>
          </w:tcPr>
          <w:p w14:paraId="54C3C75E" w14:textId="52C4ECF5" w:rsidR="00481B5D" w:rsidRPr="006D008F" w:rsidRDefault="00481B5D" w:rsidP="00B41EB4">
            <w:pPr>
              <w:pStyle w:val="Heading2"/>
              <w:outlineLvl w:val="1"/>
              <w:rPr>
                <w:sz w:val="24"/>
                <w:szCs w:val="24"/>
              </w:rPr>
            </w:pPr>
            <w:r w:rsidRPr="006D008F">
              <w:rPr>
                <w:sz w:val="24"/>
                <w:szCs w:val="24"/>
              </w:rPr>
              <w:t>What are the key points CSSC is making?</w:t>
            </w:r>
          </w:p>
        </w:tc>
      </w:tr>
      <w:tr w:rsidR="0055613D" w:rsidRPr="006D008F" w14:paraId="26A5D973" w14:textId="77777777" w:rsidTr="001A38CB">
        <w:tc>
          <w:tcPr>
            <w:tcW w:w="10348" w:type="dxa"/>
            <w:tcBorders>
              <w:top w:val="nil"/>
              <w:left w:val="nil"/>
              <w:bottom w:val="nil"/>
              <w:right w:val="nil"/>
            </w:tcBorders>
            <w:shd w:val="clear" w:color="auto" w:fill="BDD6EE" w:themeFill="accent1" w:themeFillTint="66"/>
          </w:tcPr>
          <w:p w14:paraId="7C5D6984" w14:textId="373D53D7" w:rsidR="0055613D" w:rsidRPr="006D008F" w:rsidRDefault="0055613D" w:rsidP="00AD3A8E">
            <w:pPr>
              <w:pStyle w:val="ListParagraph"/>
              <w:numPr>
                <w:ilvl w:val="0"/>
                <w:numId w:val="6"/>
              </w:numPr>
              <w:ind w:left="357" w:hanging="357"/>
              <w:contextualSpacing w:val="0"/>
              <w:rPr>
                <w:rFonts w:cstheme="minorHAnsi"/>
                <w:b/>
                <w:sz w:val="24"/>
                <w:szCs w:val="24"/>
              </w:rPr>
            </w:pPr>
            <w:r w:rsidRPr="006D008F">
              <w:rPr>
                <w:rFonts w:cstheme="minorHAnsi"/>
                <w:sz w:val="24"/>
                <w:szCs w:val="24"/>
              </w:rPr>
              <w:t>We fully support our children and young people being educated together.</w:t>
            </w:r>
          </w:p>
        </w:tc>
      </w:tr>
      <w:tr w:rsidR="0055613D" w:rsidRPr="006D008F" w14:paraId="20EEC46A" w14:textId="77777777" w:rsidTr="001A38CB">
        <w:tc>
          <w:tcPr>
            <w:tcW w:w="10348" w:type="dxa"/>
            <w:tcBorders>
              <w:top w:val="nil"/>
              <w:left w:val="nil"/>
              <w:bottom w:val="nil"/>
              <w:right w:val="nil"/>
            </w:tcBorders>
            <w:shd w:val="clear" w:color="auto" w:fill="BDD6EE" w:themeFill="accent1" w:themeFillTint="66"/>
          </w:tcPr>
          <w:p w14:paraId="0DD0DE59" w14:textId="56EFD8BB" w:rsidR="0055613D" w:rsidRPr="006D008F" w:rsidRDefault="0055613D" w:rsidP="00AD3A8E">
            <w:pPr>
              <w:pStyle w:val="ListParagraph"/>
              <w:numPr>
                <w:ilvl w:val="0"/>
                <w:numId w:val="6"/>
              </w:numPr>
              <w:ind w:left="357" w:hanging="357"/>
              <w:contextualSpacing w:val="0"/>
              <w:rPr>
                <w:rFonts w:cstheme="minorHAnsi"/>
                <w:sz w:val="24"/>
                <w:szCs w:val="24"/>
              </w:rPr>
            </w:pPr>
            <w:r w:rsidRPr="006D008F">
              <w:rPr>
                <w:rFonts w:cstheme="minorHAnsi"/>
                <w:sz w:val="24"/>
                <w:szCs w:val="24"/>
              </w:rPr>
              <w:t>This is a complex piece of legislation that should be considered as part of the Independent Review of Education.</w:t>
            </w:r>
            <w:r w:rsidR="000427D6" w:rsidRPr="006D008F">
              <w:rPr>
                <w:rFonts w:cstheme="minorHAnsi"/>
                <w:sz w:val="24"/>
                <w:szCs w:val="24"/>
              </w:rPr>
              <w:t xml:space="preserve"> The current amendments do not reduce the impact.  </w:t>
            </w:r>
          </w:p>
        </w:tc>
      </w:tr>
      <w:tr w:rsidR="0055613D" w:rsidRPr="006D008F" w14:paraId="71F988EF" w14:textId="77777777" w:rsidTr="001A38CB">
        <w:tc>
          <w:tcPr>
            <w:tcW w:w="10348" w:type="dxa"/>
            <w:tcBorders>
              <w:top w:val="nil"/>
              <w:left w:val="nil"/>
              <w:bottom w:val="nil"/>
              <w:right w:val="nil"/>
            </w:tcBorders>
            <w:shd w:val="clear" w:color="auto" w:fill="BDD6EE" w:themeFill="accent1" w:themeFillTint="66"/>
          </w:tcPr>
          <w:p w14:paraId="2F1FCC9E" w14:textId="5E6306FE" w:rsidR="0055613D" w:rsidRPr="006D008F" w:rsidRDefault="0055613D" w:rsidP="00AD3A8E">
            <w:pPr>
              <w:pStyle w:val="ListParagraph"/>
              <w:numPr>
                <w:ilvl w:val="0"/>
                <w:numId w:val="6"/>
              </w:numPr>
              <w:ind w:left="357" w:hanging="357"/>
              <w:contextualSpacing w:val="0"/>
              <w:rPr>
                <w:rFonts w:cstheme="minorHAnsi"/>
                <w:sz w:val="24"/>
                <w:szCs w:val="24"/>
              </w:rPr>
            </w:pPr>
            <w:r w:rsidRPr="006D008F">
              <w:rPr>
                <w:rFonts w:cstheme="minorHAnsi"/>
                <w:sz w:val="24"/>
                <w:szCs w:val="24"/>
              </w:rPr>
              <w:t>It is important that all sectors are treated equally.</w:t>
            </w:r>
          </w:p>
        </w:tc>
      </w:tr>
      <w:tr w:rsidR="0055613D" w:rsidRPr="006D008F" w14:paraId="1D0A4BAB" w14:textId="77777777" w:rsidTr="001A38CB">
        <w:tc>
          <w:tcPr>
            <w:tcW w:w="10348" w:type="dxa"/>
            <w:tcBorders>
              <w:top w:val="nil"/>
              <w:left w:val="nil"/>
              <w:bottom w:val="nil"/>
              <w:right w:val="nil"/>
            </w:tcBorders>
            <w:shd w:val="clear" w:color="auto" w:fill="BDD6EE" w:themeFill="accent1" w:themeFillTint="66"/>
          </w:tcPr>
          <w:p w14:paraId="5B992416" w14:textId="2A692FA7" w:rsidR="0055613D" w:rsidRPr="006D008F" w:rsidRDefault="0055613D" w:rsidP="00AD3A8E">
            <w:pPr>
              <w:pStyle w:val="ListParagraph"/>
              <w:numPr>
                <w:ilvl w:val="0"/>
                <w:numId w:val="6"/>
              </w:numPr>
              <w:ind w:left="357" w:hanging="357"/>
              <w:contextualSpacing w:val="0"/>
              <w:rPr>
                <w:rFonts w:cstheme="minorHAnsi"/>
                <w:sz w:val="24"/>
                <w:szCs w:val="24"/>
              </w:rPr>
            </w:pPr>
            <w:r w:rsidRPr="006D008F">
              <w:rPr>
                <w:rFonts w:cstheme="minorHAnsi"/>
                <w:sz w:val="24"/>
                <w:szCs w:val="24"/>
              </w:rPr>
              <w:t>Controlled schools are open to all.</w:t>
            </w:r>
          </w:p>
        </w:tc>
      </w:tr>
      <w:tr w:rsidR="0055613D" w:rsidRPr="006D008F" w14:paraId="6975B93B" w14:textId="77777777" w:rsidTr="001A38CB">
        <w:tc>
          <w:tcPr>
            <w:tcW w:w="10348" w:type="dxa"/>
            <w:tcBorders>
              <w:top w:val="nil"/>
              <w:left w:val="nil"/>
              <w:bottom w:val="nil"/>
              <w:right w:val="nil"/>
            </w:tcBorders>
            <w:shd w:val="clear" w:color="auto" w:fill="BDD6EE" w:themeFill="accent1" w:themeFillTint="66"/>
          </w:tcPr>
          <w:p w14:paraId="2F97B133" w14:textId="3F8BA9B8" w:rsidR="00B30B47" w:rsidRPr="006D008F" w:rsidRDefault="0055613D" w:rsidP="008E2AED">
            <w:pPr>
              <w:pStyle w:val="ListParagraph"/>
              <w:numPr>
                <w:ilvl w:val="0"/>
                <w:numId w:val="6"/>
              </w:numPr>
              <w:ind w:left="357" w:hanging="357"/>
              <w:contextualSpacing w:val="0"/>
              <w:rPr>
                <w:rFonts w:cstheme="minorHAnsi"/>
                <w:sz w:val="24"/>
                <w:szCs w:val="24"/>
              </w:rPr>
            </w:pPr>
            <w:r w:rsidRPr="006D008F">
              <w:rPr>
                <w:rFonts w:cstheme="minorHAnsi"/>
                <w:sz w:val="24"/>
                <w:szCs w:val="24"/>
              </w:rPr>
              <w:t>Controlled schools are not single identity schools.</w:t>
            </w:r>
          </w:p>
        </w:tc>
      </w:tr>
      <w:tr w:rsidR="00481B5D" w:rsidRPr="006D008F" w14:paraId="06B7E75D" w14:textId="77777777" w:rsidTr="001A38CB">
        <w:tc>
          <w:tcPr>
            <w:tcW w:w="10348" w:type="dxa"/>
            <w:tcBorders>
              <w:top w:val="nil"/>
              <w:left w:val="nil"/>
              <w:bottom w:val="nil"/>
              <w:right w:val="nil"/>
            </w:tcBorders>
            <w:shd w:val="clear" w:color="auto" w:fill="9CC2E5" w:themeFill="accent1" w:themeFillTint="99"/>
          </w:tcPr>
          <w:p w14:paraId="63030A88" w14:textId="4A8D2A76" w:rsidR="00481B5D" w:rsidRPr="006D008F" w:rsidRDefault="00481B5D" w:rsidP="00B41EB4">
            <w:pPr>
              <w:pStyle w:val="Heading2"/>
              <w:outlineLvl w:val="1"/>
              <w:rPr>
                <w:sz w:val="24"/>
                <w:szCs w:val="24"/>
              </w:rPr>
            </w:pPr>
            <w:r w:rsidRPr="006D008F">
              <w:rPr>
                <w:sz w:val="24"/>
                <w:szCs w:val="24"/>
              </w:rPr>
              <w:t>What action has CSSC taken to date?</w:t>
            </w:r>
          </w:p>
        </w:tc>
      </w:tr>
      <w:tr w:rsidR="002E6855" w:rsidRPr="006D008F" w14:paraId="29CD54B3" w14:textId="77777777" w:rsidTr="001A38CB">
        <w:tc>
          <w:tcPr>
            <w:tcW w:w="10348" w:type="dxa"/>
            <w:tcBorders>
              <w:top w:val="nil"/>
              <w:left w:val="nil"/>
              <w:bottom w:val="nil"/>
              <w:right w:val="nil"/>
            </w:tcBorders>
            <w:shd w:val="clear" w:color="auto" w:fill="9CC2E5" w:themeFill="accent1" w:themeFillTint="99"/>
          </w:tcPr>
          <w:p w14:paraId="44A5DAF2" w14:textId="6FBF3919" w:rsidR="002E6855" w:rsidRPr="006D008F" w:rsidRDefault="002E6855" w:rsidP="002E6855">
            <w:pPr>
              <w:pStyle w:val="ListParagraph"/>
              <w:numPr>
                <w:ilvl w:val="0"/>
                <w:numId w:val="7"/>
              </w:numPr>
              <w:ind w:left="357" w:hanging="357"/>
              <w:contextualSpacing w:val="0"/>
              <w:rPr>
                <w:rFonts w:cstheme="minorHAnsi"/>
                <w:b/>
                <w:sz w:val="24"/>
                <w:szCs w:val="24"/>
              </w:rPr>
            </w:pPr>
            <w:r w:rsidRPr="006D008F">
              <w:rPr>
                <w:rFonts w:cstheme="minorHAnsi"/>
                <w:sz w:val="24"/>
                <w:szCs w:val="24"/>
              </w:rPr>
              <w:t>We have provided written evidence and given an oral briefing to the NI Assembly Education Committee on our concerns regarding the implications of the Bill for controlled schools.</w:t>
            </w:r>
          </w:p>
        </w:tc>
      </w:tr>
      <w:tr w:rsidR="002E6855" w:rsidRPr="006D008F" w14:paraId="54D5F37F" w14:textId="77777777" w:rsidTr="001A38CB">
        <w:tc>
          <w:tcPr>
            <w:tcW w:w="10348" w:type="dxa"/>
            <w:tcBorders>
              <w:top w:val="nil"/>
              <w:left w:val="nil"/>
              <w:bottom w:val="nil"/>
              <w:right w:val="nil"/>
            </w:tcBorders>
            <w:shd w:val="clear" w:color="auto" w:fill="9CC2E5" w:themeFill="accent1" w:themeFillTint="99"/>
          </w:tcPr>
          <w:p w14:paraId="61F6D1A8" w14:textId="6FD49709" w:rsidR="002E6855" w:rsidRPr="006D008F" w:rsidRDefault="002E6855" w:rsidP="002E6855">
            <w:pPr>
              <w:pStyle w:val="ListParagraph"/>
              <w:numPr>
                <w:ilvl w:val="0"/>
                <w:numId w:val="7"/>
              </w:numPr>
              <w:rPr>
                <w:rFonts w:cstheme="minorHAnsi"/>
                <w:sz w:val="24"/>
                <w:szCs w:val="24"/>
              </w:rPr>
            </w:pPr>
            <w:r w:rsidRPr="006D008F">
              <w:rPr>
                <w:rFonts w:cstheme="minorHAnsi"/>
                <w:sz w:val="24"/>
                <w:szCs w:val="24"/>
              </w:rPr>
              <w:t>We have advocated on behalf of controlled schools with political representatives highlighting the issues and the diverse and open to all ethos of controlled schools.</w:t>
            </w:r>
          </w:p>
        </w:tc>
      </w:tr>
      <w:tr w:rsidR="002E6855" w:rsidRPr="006D008F" w14:paraId="251D7BD1" w14:textId="77777777" w:rsidTr="001A38CB">
        <w:tc>
          <w:tcPr>
            <w:tcW w:w="10348" w:type="dxa"/>
            <w:tcBorders>
              <w:top w:val="nil"/>
              <w:left w:val="nil"/>
              <w:bottom w:val="nil"/>
              <w:right w:val="nil"/>
            </w:tcBorders>
            <w:shd w:val="clear" w:color="auto" w:fill="9CC2E5" w:themeFill="accent1" w:themeFillTint="99"/>
          </w:tcPr>
          <w:p w14:paraId="5EFCD8FE" w14:textId="6C0A933B" w:rsidR="002E6855" w:rsidRPr="006D008F" w:rsidRDefault="002E6855" w:rsidP="002E6855">
            <w:pPr>
              <w:pStyle w:val="ListParagraph"/>
              <w:numPr>
                <w:ilvl w:val="0"/>
                <w:numId w:val="7"/>
              </w:numPr>
              <w:rPr>
                <w:rFonts w:cstheme="minorHAnsi"/>
                <w:sz w:val="24"/>
                <w:szCs w:val="24"/>
              </w:rPr>
            </w:pPr>
            <w:r w:rsidRPr="006D008F">
              <w:rPr>
                <w:rFonts w:cstheme="minorHAnsi"/>
                <w:sz w:val="24"/>
                <w:szCs w:val="24"/>
              </w:rPr>
              <w:t>We have encouraged all controlled schools to promote their open to all nature - #OpenToAll.</w:t>
            </w:r>
          </w:p>
        </w:tc>
      </w:tr>
      <w:tr w:rsidR="002E6855" w:rsidRPr="006D008F" w14:paraId="5B56BAC3" w14:textId="77777777" w:rsidTr="001A38CB">
        <w:tc>
          <w:tcPr>
            <w:tcW w:w="10348" w:type="dxa"/>
            <w:tcBorders>
              <w:top w:val="nil"/>
              <w:left w:val="nil"/>
              <w:bottom w:val="nil"/>
              <w:right w:val="nil"/>
            </w:tcBorders>
            <w:shd w:val="clear" w:color="auto" w:fill="9CC2E5" w:themeFill="accent1" w:themeFillTint="99"/>
          </w:tcPr>
          <w:p w14:paraId="2B6BA2F1" w14:textId="102FC9BF" w:rsidR="002E6855" w:rsidRPr="006D008F" w:rsidRDefault="002E6855" w:rsidP="002E6855">
            <w:pPr>
              <w:pStyle w:val="ListParagraph"/>
              <w:numPr>
                <w:ilvl w:val="0"/>
                <w:numId w:val="7"/>
              </w:numPr>
              <w:rPr>
                <w:rFonts w:cstheme="minorHAnsi"/>
                <w:sz w:val="24"/>
                <w:szCs w:val="24"/>
              </w:rPr>
            </w:pPr>
            <w:r w:rsidRPr="006D008F">
              <w:rPr>
                <w:rFonts w:cstheme="minorHAnsi"/>
                <w:sz w:val="24"/>
                <w:szCs w:val="24"/>
              </w:rPr>
              <w:t xml:space="preserve">Read the CSSC response here: </w:t>
            </w:r>
            <w:hyperlink r:id="rId9" w:tgtFrame="_blank" w:tooltip="https://bit.ly/cssciebresponse" w:history="1">
              <w:r w:rsidRPr="006D008F">
                <w:rPr>
                  <w:rStyle w:val="Hyperlink"/>
                  <w:rFonts w:cstheme="minorHAnsi"/>
                  <w:color w:val="auto"/>
                  <w:sz w:val="24"/>
                  <w:szCs w:val="24"/>
                </w:rPr>
                <w:t>https://bit.ly/CSSCIEBResponse</w:t>
              </w:r>
            </w:hyperlink>
          </w:p>
        </w:tc>
      </w:tr>
      <w:tr w:rsidR="002E6855" w:rsidRPr="006D008F" w14:paraId="501A6933" w14:textId="77777777" w:rsidTr="001A38CB">
        <w:tc>
          <w:tcPr>
            <w:tcW w:w="10348" w:type="dxa"/>
            <w:tcBorders>
              <w:top w:val="nil"/>
              <w:left w:val="nil"/>
              <w:bottom w:val="nil"/>
              <w:right w:val="nil"/>
            </w:tcBorders>
            <w:shd w:val="clear" w:color="auto" w:fill="9CC2E5" w:themeFill="accent1" w:themeFillTint="99"/>
          </w:tcPr>
          <w:p w14:paraId="431D24D2" w14:textId="22217B31" w:rsidR="002E6855" w:rsidRPr="006D008F" w:rsidRDefault="002E6855" w:rsidP="001A38CB">
            <w:pPr>
              <w:pStyle w:val="ListParagraph"/>
              <w:numPr>
                <w:ilvl w:val="0"/>
                <w:numId w:val="7"/>
              </w:numPr>
              <w:rPr>
                <w:rFonts w:cstheme="minorHAnsi"/>
                <w:color w:val="0563C1" w:themeColor="hyperlink"/>
                <w:sz w:val="24"/>
                <w:szCs w:val="24"/>
                <w:u w:val="single"/>
              </w:rPr>
            </w:pPr>
            <w:r w:rsidRPr="006D008F">
              <w:rPr>
                <w:rFonts w:cstheme="minorHAnsi"/>
                <w:sz w:val="24"/>
                <w:szCs w:val="24"/>
              </w:rPr>
              <w:t xml:space="preserve">Watch the CSSC evidence briefing here: </w:t>
            </w:r>
            <w:hyperlink r:id="rId10" w:history="1">
              <w:r w:rsidRPr="006D008F">
                <w:rPr>
                  <w:rStyle w:val="Hyperlink"/>
                  <w:rFonts w:cstheme="minorHAnsi"/>
                  <w:color w:val="auto"/>
                  <w:sz w:val="24"/>
                  <w:szCs w:val="24"/>
                </w:rPr>
                <w:t>https://www.youtube.com/watch?v=zyi_hpmSV_c</w:t>
              </w:r>
            </w:hyperlink>
          </w:p>
        </w:tc>
      </w:tr>
      <w:tr w:rsidR="00481B5D" w:rsidRPr="006D008F" w14:paraId="44E2726C" w14:textId="77777777" w:rsidTr="001A38CB">
        <w:tc>
          <w:tcPr>
            <w:tcW w:w="10348" w:type="dxa"/>
            <w:tcBorders>
              <w:top w:val="nil"/>
              <w:left w:val="nil"/>
              <w:bottom w:val="nil"/>
              <w:right w:val="nil"/>
            </w:tcBorders>
            <w:shd w:val="clear" w:color="auto" w:fill="BDD6EE" w:themeFill="accent1" w:themeFillTint="66"/>
          </w:tcPr>
          <w:p w14:paraId="14A97B0E" w14:textId="11EE8E75" w:rsidR="00481B5D" w:rsidRPr="006D008F" w:rsidRDefault="00481B5D" w:rsidP="00B41EB4">
            <w:pPr>
              <w:pStyle w:val="Heading2"/>
              <w:outlineLvl w:val="1"/>
              <w:rPr>
                <w:sz w:val="24"/>
                <w:szCs w:val="24"/>
              </w:rPr>
            </w:pPr>
            <w:r w:rsidRPr="006D008F">
              <w:rPr>
                <w:sz w:val="24"/>
                <w:szCs w:val="24"/>
              </w:rPr>
              <w:lastRenderedPageBreak/>
              <w:t>What should we do next?</w:t>
            </w:r>
          </w:p>
        </w:tc>
      </w:tr>
      <w:tr w:rsidR="00AE392B" w:rsidRPr="006D008F" w14:paraId="00EA36BC" w14:textId="77777777" w:rsidTr="001A38CB">
        <w:tc>
          <w:tcPr>
            <w:tcW w:w="10348" w:type="dxa"/>
            <w:tcBorders>
              <w:top w:val="nil"/>
              <w:left w:val="nil"/>
              <w:bottom w:val="nil"/>
              <w:right w:val="nil"/>
            </w:tcBorders>
            <w:shd w:val="clear" w:color="auto" w:fill="BDD6EE" w:themeFill="accent1" w:themeFillTint="66"/>
          </w:tcPr>
          <w:p w14:paraId="0E4B7C3F" w14:textId="1945EA33" w:rsidR="00AE392B" w:rsidRPr="006D008F" w:rsidRDefault="00AE392B" w:rsidP="00AE392B">
            <w:pPr>
              <w:pStyle w:val="ListParagraph"/>
              <w:numPr>
                <w:ilvl w:val="0"/>
                <w:numId w:val="8"/>
              </w:numPr>
              <w:rPr>
                <w:rFonts w:cstheme="minorHAnsi"/>
                <w:b/>
                <w:sz w:val="24"/>
                <w:szCs w:val="24"/>
              </w:rPr>
            </w:pPr>
            <w:r w:rsidRPr="006D008F">
              <w:rPr>
                <w:rFonts w:cstheme="minorHAnsi"/>
                <w:sz w:val="24"/>
                <w:szCs w:val="24"/>
              </w:rPr>
              <w:t>CSSC will continue to advocate on behalf of controlled schools to political representatives.</w:t>
            </w:r>
          </w:p>
        </w:tc>
      </w:tr>
      <w:tr w:rsidR="00AE392B" w:rsidRPr="006D008F" w14:paraId="57160C2C" w14:textId="77777777" w:rsidTr="001A38CB">
        <w:tc>
          <w:tcPr>
            <w:tcW w:w="10348" w:type="dxa"/>
            <w:tcBorders>
              <w:top w:val="nil"/>
              <w:left w:val="nil"/>
              <w:bottom w:val="nil"/>
              <w:right w:val="nil"/>
            </w:tcBorders>
            <w:shd w:val="clear" w:color="auto" w:fill="BDD6EE" w:themeFill="accent1" w:themeFillTint="66"/>
          </w:tcPr>
          <w:p w14:paraId="501D2808" w14:textId="77777777" w:rsidR="00AE392B" w:rsidRPr="006D008F" w:rsidRDefault="00AE392B" w:rsidP="00AE392B">
            <w:pPr>
              <w:pStyle w:val="ListParagraph"/>
              <w:numPr>
                <w:ilvl w:val="0"/>
                <w:numId w:val="8"/>
              </w:numPr>
              <w:rPr>
                <w:rFonts w:cstheme="minorHAnsi"/>
                <w:b/>
                <w:sz w:val="24"/>
                <w:szCs w:val="24"/>
              </w:rPr>
            </w:pPr>
            <w:r w:rsidRPr="006D008F">
              <w:rPr>
                <w:rFonts w:cstheme="minorHAnsi"/>
                <w:sz w:val="24"/>
                <w:szCs w:val="24"/>
              </w:rPr>
              <w:t>CSSC will engage with media.</w:t>
            </w:r>
          </w:p>
          <w:p w14:paraId="403BF440" w14:textId="0C6F857E" w:rsidR="0079422E" w:rsidRPr="006D008F" w:rsidRDefault="0079422E" w:rsidP="0079422E">
            <w:pPr>
              <w:pStyle w:val="ListParagraph"/>
              <w:numPr>
                <w:ilvl w:val="0"/>
                <w:numId w:val="8"/>
              </w:numPr>
              <w:rPr>
                <w:rFonts w:cstheme="minorHAnsi"/>
                <w:b/>
                <w:sz w:val="24"/>
                <w:szCs w:val="24"/>
              </w:rPr>
            </w:pPr>
            <w:r w:rsidRPr="006D008F">
              <w:rPr>
                <w:rFonts w:cstheme="minorHAnsi"/>
                <w:sz w:val="24"/>
                <w:szCs w:val="24"/>
              </w:rPr>
              <w:t xml:space="preserve">Schools and parents can communicate their concerns to their local representatives and to the </w:t>
            </w:r>
            <w:r w:rsidR="00FF6159" w:rsidRPr="006D008F">
              <w:rPr>
                <w:rFonts w:cstheme="minorHAnsi"/>
                <w:sz w:val="24"/>
                <w:szCs w:val="24"/>
              </w:rPr>
              <w:t xml:space="preserve">Chair of the </w:t>
            </w:r>
            <w:r w:rsidRPr="006D008F">
              <w:rPr>
                <w:rFonts w:cstheme="minorHAnsi"/>
                <w:sz w:val="24"/>
                <w:szCs w:val="24"/>
              </w:rPr>
              <w:t>NI Assembly Education Committee by writing to the Committee Clerk.</w:t>
            </w:r>
          </w:p>
        </w:tc>
      </w:tr>
      <w:tr w:rsidR="00AE392B" w:rsidRPr="006D008F" w14:paraId="3966254D" w14:textId="77777777" w:rsidTr="001A38CB">
        <w:tc>
          <w:tcPr>
            <w:tcW w:w="10348" w:type="dxa"/>
            <w:tcBorders>
              <w:top w:val="nil"/>
              <w:left w:val="nil"/>
              <w:bottom w:val="nil"/>
              <w:right w:val="nil"/>
            </w:tcBorders>
            <w:shd w:val="clear" w:color="auto" w:fill="BDD6EE" w:themeFill="accent1" w:themeFillTint="66"/>
          </w:tcPr>
          <w:p w14:paraId="5D73AAA3" w14:textId="05EA5CDF" w:rsidR="00AE392B" w:rsidRPr="006D008F" w:rsidRDefault="00AE392B" w:rsidP="001A38CB">
            <w:pPr>
              <w:pStyle w:val="ListParagraph"/>
              <w:numPr>
                <w:ilvl w:val="0"/>
                <w:numId w:val="8"/>
              </w:numPr>
              <w:rPr>
                <w:rFonts w:eastAsia="Times New Roman" w:cstheme="minorHAnsi"/>
                <w:color w:val="201F1E"/>
                <w:sz w:val="24"/>
                <w:szCs w:val="24"/>
              </w:rPr>
            </w:pPr>
            <w:r w:rsidRPr="006D008F">
              <w:rPr>
                <w:rFonts w:cstheme="minorHAnsi"/>
                <w:sz w:val="24"/>
                <w:szCs w:val="24"/>
              </w:rPr>
              <w:t xml:space="preserve">Schools can continue </w:t>
            </w:r>
            <w:r w:rsidRPr="006D008F">
              <w:rPr>
                <w:rFonts w:eastAsia="Times New Roman" w:cstheme="minorHAnsi"/>
                <w:color w:val="201F1E"/>
                <w:sz w:val="24"/>
                <w:szCs w:val="24"/>
              </w:rPr>
              <w:t>to highlight that they are open to all children and young people wherever they can</w:t>
            </w:r>
            <w:r w:rsidR="000427D6" w:rsidRPr="006D008F">
              <w:rPr>
                <w:rFonts w:eastAsia="Times New Roman" w:cstheme="minorHAnsi"/>
                <w:color w:val="201F1E"/>
                <w:sz w:val="24"/>
                <w:szCs w:val="24"/>
              </w:rPr>
              <w:t xml:space="preserve"> including using the #OpenToAll. </w:t>
            </w:r>
          </w:p>
        </w:tc>
      </w:tr>
      <w:bookmarkEnd w:id="0"/>
    </w:tbl>
    <w:p w14:paraId="797FD5C6" w14:textId="77777777" w:rsidR="001A38CB" w:rsidRPr="006D008F" w:rsidRDefault="001A38CB">
      <w:pPr>
        <w:rPr>
          <w:b/>
          <w:sz w:val="24"/>
          <w:szCs w:val="24"/>
        </w:rPr>
      </w:pPr>
    </w:p>
    <w:sectPr w:rsidR="001A38CB" w:rsidRPr="006D008F" w:rsidSect="001A38CB">
      <w:headerReference w:type="default" r:id="rId11"/>
      <w:pgSz w:w="11906" w:h="16838"/>
      <w:pgMar w:top="720"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8889E" w14:textId="77777777" w:rsidR="007B2E0F" w:rsidRDefault="007B2E0F" w:rsidP="00CF4A34">
      <w:pPr>
        <w:spacing w:after="0" w:line="240" w:lineRule="auto"/>
      </w:pPr>
      <w:r>
        <w:separator/>
      </w:r>
    </w:p>
  </w:endnote>
  <w:endnote w:type="continuationSeparator" w:id="0">
    <w:p w14:paraId="0FDB696D" w14:textId="77777777" w:rsidR="007B2E0F" w:rsidRDefault="007B2E0F" w:rsidP="00CF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0C76F" w14:textId="77777777" w:rsidR="007B2E0F" w:rsidRDefault="007B2E0F" w:rsidP="00CF4A34">
      <w:pPr>
        <w:spacing w:after="0" w:line="240" w:lineRule="auto"/>
      </w:pPr>
      <w:r>
        <w:separator/>
      </w:r>
    </w:p>
  </w:footnote>
  <w:footnote w:type="continuationSeparator" w:id="0">
    <w:p w14:paraId="002C7239" w14:textId="77777777" w:rsidR="007B2E0F" w:rsidRDefault="007B2E0F" w:rsidP="00CF4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SSC logo and hashtag"/>
    </w:tblPr>
    <w:tblGrid>
      <w:gridCol w:w="5268"/>
      <w:gridCol w:w="5268"/>
    </w:tblGrid>
    <w:tr w:rsidR="00F30553" w:rsidRPr="008E2AED" w14:paraId="1C1F5F5C" w14:textId="77777777" w:rsidTr="006D008F">
      <w:trPr>
        <w:trHeight w:val="181"/>
        <w:tblHeader/>
      </w:trPr>
      <w:tc>
        <w:tcPr>
          <w:tcW w:w="5268" w:type="dxa"/>
        </w:tcPr>
        <w:p w14:paraId="53FF95DD" w14:textId="77777777" w:rsidR="00F30553" w:rsidRPr="008E2AED" w:rsidRDefault="00F30553" w:rsidP="0017489E">
          <w:pPr>
            <w:rPr>
              <w:rFonts w:cstheme="minorHAnsi"/>
              <w:noProof/>
              <w:sz w:val="16"/>
              <w:szCs w:val="24"/>
              <w:lang w:eastAsia="en-GB"/>
            </w:rPr>
          </w:pPr>
        </w:p>
      </w:tc>
      <w:tc>
        <w:tcPr>
          <w:tcW w:w="5268" w:type="dxa"/>
        </w:tcPr>
        <w:p w14:paraId="0F25118F" w14:textId="77777777" w:rsidR="00F30553" w:rsidRPr="008E2AED" w:rsidRDefault="00F30553" w:rsidP="0017489E">
          <w:pPr>
            <w:rPr>
              <w:rFonts w:cstheme="minorHAnsi"/>
              <w:b/>
              <w:color w:val="2E74B5" w:themeColor="accent1" w:themeShade="BF"/>
              <w:sz w:val="16"/>
              <w:szCs w:val="24"/>
            </w:rPr>
          </w:pPr>
        </w:p>
      </w:tc>
    </w:tr>
    <w:tr w:rsidR="0017489E" w14:paraId="55EAE252" w14:textId="77777777" w:rsidTr="006D008F">
      <w:trPr>
        <w:trHeight w:val="997"/>
        <w:tblHeader/>
      </w:trPr>
      <w:tc>
        <w:tcPr>
          <w:tcW w:w="5268" w:type="dxa"/>
        </w:tcPr>
        <w:p w14:paraId="0849E8EE" w14:textId="77777777" w:rsidR="0017489E" w:rsidRDefault="0017489E" w:rsidP="0017489E">
          <w:r>
            <w:rPr>
              <w:noProof/>
              <w:lang w:eastAsia="en-GB"/>
            </w:rPr>
            <w:drawing>
              <wp:inline distT="0" distB="0" distL="0" distR="0" wp14:anchorId="33AA652A" wp14:editId="366035B6">
                <wp:extent cx="1447800" cy="723900"/>
                <wp:effectExtent l="0" t="0" r="0" b="0"/>
                <wp:docPr id="2" name="Picture 2" descr="CS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SC NEW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535" cy="756767"/>
                        </a:xfrm>
                        <a:prstGeom prst="rect">
                          <a:avLst/>
                        </a:prstGeom>
                      </pic:spPr>
                    </pic:pic>
                  </a:graphicData>
                </a:graphic>
              </wp:inline>
            </w:drawing>
          </w:r>
        </w:p>
      </w:tc>
      <w:tc>
        <w:tcPr>
          <w:tcW w:w="5268" w:type="dxa"/>
        </w:tcPr>
        <w:p w14:paraId="1679B394" w14:textId="77777777" w:rsidR="0017489E" w:rsidRPr="006D008F" w:rsidRDefault="0017489E" w:rsidP="0017489E">
          <w:pPr>
            <w:rPr>
              <w:sz w:val="52"/>
              <w:szCs w:val="52"/>
            </w:rPr>
          </w:pPr>
          <w:r w:rsidRPr="006D008F">
            <w:rPr>
              <w:b/>
              <w:color w:val="2E74B5" w:themeColor="accent1" w:themeShade="BF"/>
              <w:sz w:val="52"/>
              <w:szCs w:val="52"/>
            </w:rPr>
            <w:t>#</w:t>
          </w:r>
          <w:r w:rsidRPr="006D008F">
            <w:rPr>
              <w:b/>
              <w:color w:val="2E74B5" w:themeColor="accent1" w:themeShade="BF"/>
              <w:sz w:val="72"/>
              <w:szCs w:val="72"/>
            </w:rPr>
            <w:t>OpenToAll</w:t>
          </w:r>
        </w:p>
      </w:tc>
    </w:tr>
  </w:tbl>
  <w:p w14:paraId="2EF94E6A" w14:textId="77777777" w:rsidR="0017489E" w:rsidRPr="008E2AED" w:rsidRDefault="0017489E" w:rsidP="006527CB">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52A7"/>
    <w:multiLevelType w:val="hybridMultilevel"/>
    <w:tmpl w:val="F14448FC"/>
    <w:lvl w:ilvl="0" w:tplc="6608C5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22E65"/>
    <w:multiLevelType w:val="hybridMultilevel"/>
    <w:tmpl w:val="3826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563AC"/>
    <w:multiLevelType w:val="hybridMultilevel"/>
    <w:tmpl w:val="F81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63058"/>
    <w:multiLevelType w:val="hybridMultilevel"/>
    <w:tmpl w:val="A1F8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75DBA"/>
    <w:multiLevelType w:val="multilevel"/>
    <w:tmpl w:val="EA06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8B3B74"/>
    <w:multiLevelType w:val="hybridMultilevel"/>
    <w:tmpl w:val="097C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636039"/>
    <w:multiLevelType w:val="hybridMultilevel"/>
    <w:tmpl w:val="09FE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283206"/>
    <w:multiLevelType w:val="hybridMultilevel"/>
    <w:tmpl w:val="FF0872CC"/>
    <w:lvl w:ilvl="0" w:tplc="6608C5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E5"/>
    <w:rsid w:val="00020692"/>
    <w:rsid w:val="000427D6"/>
    <w:rsid w:val="000827A1"/>
    <w:rsid w:val="00096165"/>
    <w:rsid w:val="000E1F39"/>
    <w:rsid w:val="000F0D4C"/>
    <w:rsid w:val="001504E3"/>
    <w:rsid w:val="0017489E"/>
    <w:rsid w:val="001A38CB"/>
    <w:rsid w:val="001D511D"/>
    <w:rsid w:val="001E13CA"/>
    <w:rsid w:val="00205966"/>
    <w:rsid w:val="00277864"/>
    <w:rsid w:val="0029712E"/>
    <w:rsid w:val="002E1D74"/>
    <w:rsid w:val="002E6855"/>
    <w:rsid w:val="002E6E39"/>
    <w:rsid w:val="00387B37"/>
    <w:rsid w:val="003E52C8"/>
    <w:rsid w:val="003F355C"/>
    <w:rsid w:val="00450601"/>
    <w:rsid w:val="00481B5D"/>
    <w:rsid w:val="00506BDD"/>
    <w:rsid w:val="00536FDD"/>
    <w:rsid w:val="00540C04"/>
    <w:rsid w:val="0055613D"/>
    <w:rsid w:val="00563911"/>
    <w:rsid w:val="00590AC7"/>
    <w:rsid w:val="006069A3"/>
    <w:rsid w:val="006527CB"/>
    <w:rsid w:val="006A3C26"/>
    <w:rsid w:val="006D008F"/>
    <w:rsid w:val="0076557C"/>
    <w:rsid w:val="0079422E"/>
    <w:rsid w:val="007B2E0F"/>
    <w:rsid w:val="007F541F"/>
    <w:rsid w:val="00803730"/>
    <w:rsid w:val="0084627F"/>
    <w:rsid w:val="008554E5"/>
    <w:rsid w:val="008875C6"/>
    <w:rsid w:val="008E2AED"/>
    <w:rsid w:val="009712C3"/>
    <w:rsid w:val="00A11A34"/>
    <w:rsid w:val="00A450FD"/>
    <w:rsid w:val="00A453AD"/>
    <w:rsid w:val="00A547BC"/>
    <w:rsid w:val="00A92850"/>
    <w:rsid w:val="00AD3A8E"/>
    <w:rsid w:val="00AE392B"/>
    <w:rsid w:val="00AF1D08"/>
    <w:rsid w:val="00B15E6F"/>
    <w:rsid w:val="00B30B47"/>
    <w:rsid w:val="00B41EB4"/>
    <w:rsid w:val="00B8128C"/>
    <w:rsid w:val="00B85B70"/>
    <w:rsid w:val="00B93EAB"/>
    <w:rsid w:val="00BD00B2"/>
    <w:rsid w:val="00C252D9"/>
    <w:rsid w:val="00C92758"/>
    <w:rsid w:val="00CF4A34"/>
    <w:rsid w:val="00D22018"/>
    <w:rsid w:val="00D320ED"/>
    <w:rsid w:val="00D457AA"/>
    <w:rsid w:val="00E038AD"/>
    <w:rsid w:val="00E429AD"/>
    <w:rsid w:val="00E957C2"/>
    <w:rsid w:val="00F16CAC"/>
    <w:rsid w:val="00F30553"/>
    <w:rsid w:val="00F36C81"/>
    <w:rsid w:val="00F64034"/>
    <w:rsid w:val="00FC3A3D"/>
    <w:rsid w:val="00FF61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F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EAB"/>
    <w:pPr>
      <w:keepNext/>
      <w:keepLines/>
      <w:widowControl w:val="0"/>
      <w:autoSpaceDE w:val="0"/>
      <w:autoSpaceDN w:val="0"/>
      <w:spacing w:after="0" w:line="240" w:lineRule="auto"/>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A453AD"/>
    <w:pPr>
      <w:keepNext/>
      <w:keepLines/>
      <w:spacing w:after="0" w:line="240" w:lineRule="auto"/>
      <w:outlineLvl w:val="1"/>
    </w:pPr>
    <w:rPr>
      <w:rFonts w:ascii="Calibri" w:eastAsiaTheme="majorEastAsia" w:hAnsi="Calibr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A34"/>
    <w:rPr>
      <w:color w:val="0563C1" w:themeColor="hyperlink"/>
      <w:u w:val="single"/>
    </w:rPr>
  </w:style>
  <w:style w:type="paragraph" w:styleId="ListParagraph">
    <w:name w:val="List Paragraph"/>
    <w:basedOn w:val="Normal"/>
    <w:uiPriority w:val="34"/>
    <w:qFormat/>
    <w:rsid w:val="00AF1D08"/>
    <w:pPr>
      <w:ind w:left="720"/>
      <w:contextualSpacing/>
    </w:pPr>
  </w:style>
  <w:style w:type="paragraph" w:styleId="BalloonText">
    <w:name w:val="Balloon Text"/>
    <w:basedOn w:val="Normal"/>
    <w:link w:val="BalloonTextChar"/>
    <w:uiPriority w:val="99"/>
    <w:semiHidden/>
    <w:unhideWhenUsed/>
    <w:rsid w:val="006A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C26"/>
    <w:rPr>
      <w:rFonts w:ascii="Segoe UI" w:hAnsi="Segoe UI" w:cs="Segoe UI"/>
      <w:sz w:val="18"/>
      <w:szCs w:val="18"/>
    </w:rPr>
  </w:style>
  <w:style w:type="table" w:styleId="TableGrid">
    <w:name w:val="Table Grid"/>
    <w:basedOn w:val="TableNormal"/>
    <w:uiPriority w:val="39"/>
    <w:rsid w:val="00BD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A34"/>
  </w:style>
  <w:style w:type="paragraph" w:styleId="Footer">
    <w:name w:val="footer"/>
    <w:basedOn w:val="Normal"/>
    <w:link w:val="FooterChar"/>
    <w:uiPriority w:val="99"/>
    <w:unhideWhenUsed/>
    <w:rsid w:val="00CF4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A34"/>
  </w:style>
  <w:style w:type="character" w:styleId="FollowedHyperlink">
    <w:name w:val="FollowedHyperlink"/>
    <w:basedOn w:val="DefaultParagraphFont"/>
    <w:uiPriority w:val="99"/>
    <w:semiHidden/>
    <w:unhideWhenUsed/>
    <w:rsid w:val="0076557C"/>
    <w:rPr>
      <w:color w:val="954F72" w:themeColor="followedHyperlink"/>
      <w:u w:val="single"/>
    </w:rPr>
  </w:style>
  <w:style w:type="character" w:customStyle="1" w:styleId="Heading1Char">
    <w:name w:val="Heading 1 Char"/>
    <w:basedOn w:val="DefaultParagraphFont"/>
    <w:link w:val="Heading1"/>
    <w:uiPriority w:val="9"/>
    <w:rsid w:val="00B93EAB"/>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A453AD"/>
    <w:rPr>
      <w:rFonts w:ascii="Calibri" w:eastAsiaTheme="majorEastAsia" w:hAnsi="Calibr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55248">
      <w:bodyDiv w:val="1"/>
      <w:marLeft w:val="0"/>
      <w:marRight w:val="0"/>
      <w:marTop w:val="0"/>
      <w:marBottom w:val="0"/>
      <w:divBdr>
        <w:top w:val="none" w:sz="0" w:space="0" w:color="auto"/>
        <w:left w:val="none" w:sz="0" w:space="0" w:color="auto"/>
        <w:bottom w:val="none" w:sz="0" w:space="0" w:color="auto"/>
        <w:right w:val="none" w:sz="0" w:space="0" w:color="auto"/>
      </w:divBdr>
    </w:div>
    <w:div w:id="105127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AGTmf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zyi_hpmSV_c" TargetMode="External"/><Relationship Id="rId4" Type="http://schemas.openxmlformats.org/officeDocument/2006/relationships/settings" Target="settings.xml"/><Relationship Id="rId9" Type="http://schemas.openxmlformats.org/officeDocument/2006/relationships/hyperlink" Target="https://bit.ly/CSSCIEBResp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BB60-42E6-4279-9ADB-E0C5F5C9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3476</Characters>
  <Application>Microsoft Office Word</Application>
  <DocSecurity>0</DocSecurity>
  <Lines>42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2022-02-09T17:46:00Z</dcterms:created>
  <dcterms:modified xsi:type="dcterms:W3CDTF">2022-02-09T17:46:00Z</dcterms:modified>
</cp:coreProperties>
</file>